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22D23">
      <w:pPr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color w:val="auto"/>
          <w:sz w:val="32"/>
          <w:szCs w:val="32"/>
        </w:rPr>
        <w:t>沈阳市第六人民医院医疗设备</w:t>
      </w: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（射频消融系统</w:t>
      </w:r>
      <w:r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val="en-US" w:eastAsia="zh-CN"/>
        </w:rPr>
        <w:t>）</w:t>
      </w: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合同</w:t>
      </w:r>
    </w:p>
    <w:p w14:paraId="32D81F8D">
      <w:pPr>
        <w:ind w:firstLine="723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 xml:space="preserve">     </w:t>
      </w:r>
      <w:r>
        <w:rPr>
          <w:rFonts w:hint="eastAsia" w:ascii="宋体" w:hAnsi="宋体"/>
          <w:b/>
          <w:bCs/>
          <w:color w:val="auto"/>
          <w:szCs w:val="21"/>
        </w:rPr>
        <w:t xml:space="preserve">                                        </w:t>
      </w:r>
    </w:p>
    <w:p w14:paraId="1974B06E">
      <w:pPr>
        <w:spacing w:line="360" w:lineRule="auto"/>
        <w:ind w:firstLine="514" w:firstLineChars="245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甲方：沈阳市第六人民医院 </w:t>
      </w:r>
    </w:p>
    <w:p w14:paraId="1F05721F">
      <w:pPr>
        <w:spacing w:line="360" w:lineRule="auto"/>
        <w:ind w:firstLine="514" w:firstLineChars="245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乙方：                   </w:t>
      </w:r>
    </w:p>
    <w:p w14:paraId="178A75FA">
      <w:pPr>
        <w:spacing w:line="360" w:lineRule="auto"/>
        <w:ind w:firstLine="514" w:firstLineChars="245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甲、乙双方根据《中华人民共和国民法典》和有关法律法规，通过招投标程序,遵循平等、自愿、公平和诚实信用原则，同意按照下面的条款和条件订立本政府采购合同，共同信守。</w:t>
      </w:r>
    </w:p>
    <w:p w14:paraId="6B08CAB0"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一、</w:t>
      </w:r>
      <w:r>
        <w:rPr>
          <w:rFonts w:hint="eastAsia" w:ascii="宋体" w:hAnsi="宋体"/>
          <w:b/>
          <w:bCs/>
          <w:color w:val="auto"/>
          <w:szCs w:val="21"/>
        </w:rPr>
        <w:t>设备配置、数量</w:t>
      </w:r>
    </w:p>
    <w:p w14:paraId="69B46ABE"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u w:val="single"/>
          <w:lang w:val="en-US" w:eastAsia="zh-CN"/>
        </w:rPr>
        <w:t>射频消融系统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，</w:t>
      </w:r>
      <w:r>
        <w:rPr>
          <w:rFonts w:hint="eastAsia" w:cs="Times New Roman"/>
          <w:color w:val="auto"/>
          <w:szCs w:val="21"/>
          <w:u w:val="singl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szCs w:val="21"/>
          <w:u w:val="single"/>
          <w:lang w:val="en-US" w:eastAsia="zh-CN"/>
        </w:rPr>
        <w:t>套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（详见附件技术参数）</w:t>
      </w:r>
    </w:p>
    <w:p w14:paraId="1474424B"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二、合同金额及付款方式</w:t>
      </w:r>
    </w:p>
    <w:p w14:paraId="0E5864DC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1.合同金额</w:t>
      </w:r>
      <w:r>
        <w:rPr>
          <w:rFonts w:hint="eastAsia"/>
          <w:color w:val="auto"/>
          <w:szCs w:val="21"/>
          <w:highlight w:val="none"/>
        </w:rPr>
        <w:t>：</w:t>
      </w:r>
      <w:r>
        <w:rPr>
          <w:rFonts w:hint="eastAsia"/>
          <w:b w:val="0"/>
          <w:bCs/>
          <w:color w:val="auto"/>
          <w:szCs w:val="21"/>
          <w:highlight w:val="none"/>
          <w:u w:val="single"/>
          <w:lang w:val="en-US" w:eastAsia="zh-CN"/>
        </w:rPr>
        <w:t>（小写）             （大写）                      。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       </w:t>
      </w:r>
      <w:r>
        <w:rPr>
          <w:rFonts w:hint="eastAsia"/>
          <w:color w:val="auto"/>
          <w:szCs w:val="21"/>
          <w:lang w:val="en-US" w:eastAsia="zh-CN"/>
        </w:rPr>
        <w:t xml:space="preserve">                   </w:t>
      </w:r>
    </w:p>
    <w:p w14:paraId="75DC43AA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  <w:lang w:val="en-US" w:eastAsia="zh-CN"/>
        </w:rPr>
        <w:t>2.</w:t>
      </w:r>
      <w:r>
        <w:rPr>
          <w:rFonts w:hint="eastAsia"/>
          <w:color w:val="auto"/>
          <w:szCs w:val="21"/>
        </w:rPr>
        <w:t>付款方式：</w:t>
      </w:r>
      <w:r>
        <w:rPr>
          <w:rFonts w:hint="eastAsia"/>
          <w:color w:val="auto"/>
          <w:szCs w:val="21"/>
          <w:lang w:val="en-US" w:eastAsia="zh-CN"/>
        </w:rPr>
        <w:t>乙方保证</w:t>
      </w:r>
      <w:r>
        <w:rPr>
          <w:rFonts w:hint="eastAsia"/>
          <w:color w:val="auto"/>
          <w:szCs w:val="21"/>
        </w:rPr>
        <w:t>合同签订后</w:t>
      </w:r>
      <w:r>
        <w:rPr>
          <w:rFonts w:hint="eastAsia"/>
          <w:color w:val="auto"/>
          <w:szCs w:val="21"/>
          <w:lang w:val="en-US" w:eastAsia="zh-CN"/>
        </w:rPr>
        <w:t>30</w:t>
      </w:r>
      <w:r>
        <w:rPr>
          <w:rFonts w:hint="eastAsia"/>
          <w:color w:val="auto"/>
          <w:szCs w:val="21"/>
        </w:rPr>
        <w:t>日内到货</w:t>
      </w:r>
      <w:r>
        <w:rPr>
          <w:rFonts w:hint="eastAsia"/>
          <w:color w:val="auto"/>
          <w:szCs w:val="21"/>
          <w:lang w:val="en-US" w:eastAsia="zh-CN"/>
        </w:rPr>
        <w:t>并完成安装调试及培训</w:t>
      </w:r>
      <w:r>
        <w:rPr>
          <w:rFonts w:hint="eastAsia"/>
          <w:color w:val="auto"/>
          <w:szCs w:val="21"/>
        </w:rPr>
        <w:t>，</w:t>
      </w:r>
      <w:r>
        <w:rPr>
          <w:rFonts w:hint="eastAsia"/>
          <w:color w:val="auto"/>
          <w:szCs w:val="21"/>
          <w:lang w:val="en-US" w:eastAsia="zh-CN"/>
        </w:rPr>
        <w:t>甲方</w:t>
      </w:r>
      <w:r>
        <w:rPr>
          <w:rFonts w:hint="eastAsia"/>
          <w:color w:val="auto"/>
          <w:szCs w:val="21"/>
        </w:rPr>
        <w:t>验收合格</w:t>
      </w:r>
      <w:r>
        <w:rPr>
          <w:rFonts w:hint="eastAsia"/>
          <w:color w:val="auto"/>
          <w:szCs w:val="21"/>
          <w:lang w:val="en-US" w:eastAsia="zh-CN"/>
        </w:rPr>
        <w:t>后，</w:t>
      </w:r>
      <w:r>
        <w:rPr>
          <w:rFonts w:hint="eastAsia"/>
          <w:color w:val="auto"/>
          <w:szCs w:val="21"/>
        </w:rPr>
        <w:t>一个月内付全款</w:t>
      </w:r>
      <w:r>
        <w:rPr>
          <w:rFonts w:hint="eastAsia"/>
          <w:color w:val="auto"/>
          <w:szCs w:val="21"/>
          <w:lang w:eastAsia="zh-CN"/>
        </w:rPr>
        <w:t>，付款前，乙方需要开具符合甲方要求的发票，否则甲方有权拒绝支付相应款项并无需承担任何违约责任</w:t>
      </w:r>
      <w:r>
        <w:rPr>
          <w:rFonts w:hint="eastAsia"/>
          <w:color w:val="auto"/>
          <w:szCs w:val="21"/>
        </w:rPr>
        <w:t>。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收款账户以本合同约定为准不予更改，否则造成的迟付、错付由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乙方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自行承担。</w:t>
      </w:r>
    </w:p>
    <w:p w14:paraId="47E3B45D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收款账户信息：</w:t>
      </w:r>
    </w:p>
    <w:p w14:paraId="2FF1C054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收款人：</w:t>
      </w:r>
    </w:p>
    <w:p w14:paraId="2691BB2F"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账号：</w:t>
      </w:r>
    </w:p>
    <w:p w14:paraId="6C011BE8">
      <w:p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三</w:t>
      </w:r>
      <w:r>
        <w:rPr>
          <w:rFonts w:hint="eastAsia" w:ascii="宋体" w:hAnsi="宋体"/>
          <w:b/>
          <w:bCs/>
          <w:color w:val="auto"/>
          <w:szCs w:val="21"/>
        </w:rPr>
        <w:t>、交货时间及地点</w:t>
      </w:r>
    </w:p>
    <w:p w14:paraId="32CAA7CB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1.交货时间：合同签订</w:t>
      </w:r>
      <w:r>
        <w:rPr>
          <w:rFonts w:hint="eastAsia" w:ascii="宋体" w:hAnsi="宋体"/>
          <w:color w:val="auto"/>
          <w:szCs w:val="21"/>
          <w:lang w:val="en-US" w:eastAsia="zh-CN"/>
        </w:rPr>
        <w:t>后30</w:t>
      </w:r>
      <w:r>
        <w:rPr>
          <w:rFonts w:hint="eastAsia" w:ascii="宋体" w:hAnsi="宋体"/>
          <w:color w:val="auto"/>
          <w:szCs w:val="21"/>
        </w:rPr>
        <w:t>日内到货</w:t>
      </w:r>
      <w:r>
        <w:rPr>
          <w:rFonts w:hint="eastAsia" w:ascii="宋体" w:hAnsi="宋体"/>
          <w:color w:val="auto"/>
          <w:szCs w:val="21"/>
          <w:lang w:val="en-US" w:eastAsia="zh-CN"/>
        </w:rPr>
        <w:t>并</w:t>
      </w:r>
      <w:r>
        <w:rPr>
          <w:rFonts w:hint="eastAsia" w:ascii="宋体" w:hAnsi="宋体"/>
          <w:color w:val="auto"/>
          <w:szCs w:val="21"/>
        </w:rPr>
        <w:t>完成安装调试及培训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 w14:paraId="06942813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2.交货地点：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沈阳市第六人民医院（具体以</w:t>
      </w:r>
      <w:r>
        <w:rPr>
          <w:rFonts w:hint="eastAsia" w:ascii="宋体" w:hAnsi="宋体"/>
          <w:color w:val="auto"/>
          <w:szCs w:val="21"/>
          <w:u w:val="single"/>
          <w:lang w:eastAsia="zh-CN"/>
        </w:rPr>
        <w:t>甲方指定地点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为准）。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 </w:t>
      </w:r>
    </w:p>
    <w:p w14:paraId="7CC3594F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3.运输方式及运费承担：由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负责运输，并将设备运送至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指定地点，运费</w:t>
      </w:r>
      <w:r>
        <w:rPr>
          <w:rFonts w:hint="eastAsia" w:ascii="宋体" w:hAnsi="宋体"/>
          <w:color w:val="auto"/>
          <w:szCs w:val="21"/>
          <w:lang w:eastAsia="zh-CN"/>
        </w:rPr>
        <w:t>、装卸费、人工费等（如有），均</w:t>
      </w:r>
      <w:r>
        <w:rPr>
          <w:rFonts w:hint="eastAsia" w:ascii="宋体" w:hAnsi="宋体"/>
          <w:color w:val="auto"/>
          <w:szCs w:val="21"/>
        </w:rPr>
        <w:t>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承担。</w:t>
      </w:r>
    </w:p>
    <w:p w14:paraId="37488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4.</w:t>
      </w:r>
      <w:r>
        <w:rPr>
          <w:rFonts w:hint="eastAsia" w:ascii="宋体" w:hAnsi="宋体"/>
          <w:color w:val="auto"/>
          <w:szCs w:val="21"/>
        </w:rPr>
        <w:t>培训：培训内容包括技师</w:t>
      </w:r>
      <w:r>
        <w:rPr>
          <w:rFonts w:hint="eastAsia" w:ascii="宋体" w:hAnsi="宋体"/>
          <w:color w:val="auto"/>
          <w:szCs w:val="21"/>
          <w:lang w:val="en-US" w:eastAsia="zh-CN"/>
        </w:rPr>
        <w:t>培训</w:t>
      </w:r>
      <w:r>
        <w:rPr>
          <w:rFonts w:hint="eastAsia" w:ascii="宋体" w:hAnsi="宋体"/>
          <w:color w:val="auto"/>
          <w:szCs w:val="21"/>
        </w:rPr>
        <w:t>和诊断医生</w:t>
      </w:r>
      <w:r>
        <w:rPr>
          <w:rFonts w:hint="eastAsia" w:ascii="宋体" w:hAnsi="宋体"/>
          <w:color w:val="auto"/>
          <w:szCs w:val="21"/>
          <w:lang w:val="en-US" w:eastAsia="zh-CN"/>
        </w:rPr>
        <w:t>培训</w:t>
      </w:r>
      <w:r>
        <w:rPr>
          <w:rFonts w:hint="eastAsia" w:ascii="宋体" w:hAnsi="宋体"/>
          <w:color w:val="auto"/>
          <w:szCs w:val="21"/>
        </w:rPr>
        <w:t>两部分。技师培训包括设备所有功能使用操作培训，诊断医生培训包括设备工作站后处理培训，以上两部分培训均需要达到使用人员能够独立操作</w:t>
      </w:r>
      <w:r>
        <w:rPr>
          <w:rFonts w:hint="eastAsia" w:ascii="宋体" w:hAnsi="宋体"/>
          <w:color w:val="auto"/>
          <w:szCs w:val="21"/>
          <w:lang w:val="en-US" w:eastAsia="zh-CN"/>
        </w:rPr>
        <w:t>的标准</w:t>
      </w:r>
      <w:r>
        <w:rPr>
          <w:rFonts w:hint="eastAsia" w:ascii="宋体" w:hAnsi="宋体"/>
          <w:color w:val="auto"/>
          <w:szCs w:val="21"/>
        </w:rPr>
        <w:t>。具体培训方式和课时由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协商，协商不成的由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指定。培训结束后由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的使用科室签字确认。如果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未按照培训要求项目完成培训则视为违约，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则有权拒绝支付合同款项。</w:t>
      </w:r>
      <w:r>
        <w:rPr>
          <w:rFonts w:hint="eastAsia"/>
          <w:color w:val="auto"/>
          <w:lang w:val="en-US" w:eastAsia="zh-CN"/>
        </w:rPr>
        <w:t xml:space="preserve">        </w:t>
      </w:r>
    </w:p>
    <w:p w14:paraId="1CD28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  <w:t>四、验收标准及流程</w:t>
      </w:r>
    </w:p>
    <w:p w14:paraId="3448D861">
      <w:pPr>
        <w:spacing w:line="360" w:lineRule="auto"/>
        <w:ind w:firstLine="420" w:firstLine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1、按本合同约定的设备名称、型号、数量及配置，由</w:t>
      </w:r>
      <w:r>
        <w:rPr>
          <w:rFonts w:hint="eastAsia"/>
          <w:color w:val="auto"/>
          <w:szCs w:val="21"/>
          <w:lang w:eastAsia="zh-CN"/>
        </w:rPr>
        <w:t>甲方</w:t>
      </w:r>
      <w:r>
        <w:rPr>
          <w:rFonts w:hint="eastAsia"/>
          <w:color w:val="auto"/>
          <w:szCs w:val="21"/>
          <w:lang w:val="en-US" w:eastAsia="zh-CN"/>
        </w:rPr>
        <w:t>验收小组</w:t>
      </w:r>
      <w:r>
        <w:rPr>
          <w:rFonts w:hint="eastAsia"/>
          <w:color w:val="auto"/>
          <w:szCs w:val="21"/>
        </w:rPr>
        <w:t>根据招标的设备配置、技术规格等要求进行验收核准。设备安装调试达到临床使用标准后，</w:t>
      </w:r>
      <w:r>
        <w:rPr>
          <w:rFonts w:hint="eastAsia"/>
          <w:color w:val="auto"/>
          <w:szCs w:val="21"/>
          <w:lang w:eastAsia="zh-CN"/>
        </w:rPr>
        <w:t>甲方</w:t>
      </w:r>
      <w:r>
        <w:rPr>
          <w:rFonts w:hint="eastAsia"/>
          <w:color w:val="auto"/>
          <w:szCs w:val="21"/>
          <w:lang w:val="en-US" w:eastAsia="zh-CN"/>
        </w:rPr>
        <w:t>验收小组</w:t>
      </w:r>
      <w:r>
        <w:rPr>
          <w:rFonts w:hint="eastAsia"/>
          <w:color w:val="auto"/>
          <w:szCs w:val="21"/>
        </w:rPr>
        <w:t>进行签字确认。</w:t>
      </w:r>
    </w:p>
    <w:p w14:paraId="4EA61B16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/>
          <w:color w:val="auto"/>
          <w:szCs w:val="21"/>
        </w:rPr>
        <w:t>2、验收流程：</w:t>
      </w:r>
      <w:r>
        <w:rPr>
          <w:rFonts w:hint="eastAsia"/>
          <w:color w:val="auto"/>
          <w:szCs w:val="21"/>
          <w:lang w:eastAsia="zh-CN"/>
        </w:rPr>
        <w:t>乙方</w:t>
      </w:r>
      <w:r>
        <w:rPr>
          <w:rFonts w:hint="eastAsia"/>
          <w:color w:val="auto"/>
          <w:szCs w:val="21"/>
        </w:rPr>
        <w:t>将设备送到</w:t>
      </w:r>
      <w:r>
        <w:rPr>
          <w:rFonts w:hint="eastAsia"/>
          <w:color w:val="auto"/>
          <w:szCs w:val="21"/>
          <w:lang w:eastAsia="zh-CN"/>
        </w:rPr>
        <w:t>甲方</w:t>
      </w:r>
      <w:r>
        <w:rPr>
          <w:rFonts w:hint="eastAsia"/>
          <w:color w:val="auto"/>
          <w:szCs w:val="21"/>
        </w:rPr>
        <w:t>指定地点，</w:t>
      </w:r>
      <w:r>
        <w:rPr>
          <w:rFonts w:hint="eastAsia"/>
          <w:color w:val="auto"/>
          <w:szCs w:val="21"/>
          <w:lang w:val="en-US" w:eastAsia="zh-CN"/>
        </w:rPr>
        <w:t>与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甲方验收小组（由申请科室主任，器械科和固定资产办相关人员组成）</w:t>
      </w:r>
      <w:r>
        <w:rPr>
          <w:rFonts w:hint="eastAsia"/>
          <w:color w:val="auto"/>
          <w:szCs w:val="21"/>
        </w:rPr>
        <w:t>当场验收并确认无误后由</w:t>
      </w:r>
      <w:r>
        <w:rPr>
          <w:rFonts w:hint="eastAsia"/>
          <w:color w:val="auto"/>
          <w:szCs w:val="21"/>
          <w:lang w:eastAsia="zh-CN"/>
        </w:rPr>
        <w:t>甲方</w:t>
      </w:r>
      <w:r>
        <w:rPr>
          <w:rFonts w:hint="eastAsia"/>
          <w:color w:val="auto"/>
          <w:szCs w:val="21"/>
          <w:u w:val="single"/>
          <w:lang w:val="en-US" w:eastAsia="zh-CN"/>
        </w:rPr>
        <w:t>验收小组</w:t>
      </w:r>
      <w:r>
        <w:rPr>
          <w:rFonts w:hint="eastAsia"/>
          <w:color w:val="auto"/>
          <w:szCs w:val="21"/>
        </w:rPr>
        <w:t>签字确认，如</w:t>
      </w:r>
      <w:r>
        <w:rPr>
          <w:rFonts w:hint="eastAsia"/>
          <w:color w:val="auto"/>
          <w:szCs w:val="21"/>
          <w:lang w:val="en-US" w:eastAsia="zh-CN"/>
        </w:rPr>
        <w:t>因</w:t>
      </w:r>
      <w:r>
        <w:rPr>
          <w:rFonts w:hint="eastAsia"/>
          <w:color w:val="auto"/>
          <w:szCs w:val="21"/>
        </w:rPr>
        <w:t>安装调试</w:t>
      </w:r>
      <w:r>
        <w:rPr>
          <w:rFonts w:hint="eastAsia"/>
          <w:color w:val="auto"/>
          <w:szCs w:val="21"/>
          <w:lang w:val="en-US" w:eastAsia="zh-CN"/>
        </w:rPr>
        <w:t>或培训未完成</w:t>
      </w:r>
      <w:r>
        <w:rPr>
          <w:rFonts w:hint="eastAsia"/>
          <w:color w:val="auto"/>
          <w:szCs w:val="21"/>
        </w:rPr>
        <w:t>无法当时验收完毕的，则待安装调试</w:t>
      </w:r>
      <w:r>
        <w:rPr>
          <w:rFonts w:hint="eastAsia"/>
          <w:color w:val="auto"/>
          <w:szCs w:val="21"/>
          <w:lang w:val="en-US" w:eastAsia="zh-CN"/>
        </w:rPr>
        <w:t>及培训</w:t>
      </w:r>
      <w:r>
        <w:rPr>
          <w:rFonts w:hint="eastAsia"/>
          <w:color w:val="auto"/>
          <w:szCs w:val="21"/>
        </w:rPr>
        <w:t>完毕后再进行二次验收</w:t>
      </w:r>
      <w:r>
        <w:rPr>
          <w:rFonts w:hint="eastAsia"/>
          <w:color w:val="auto"/>
          <w:szCs w:val="21"/>
          <w:lang w:eastAsia="zh-CN"/>
        </w:rPr>
        <w:t>，二次验收合格作为付款以及起算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质量保证期</w:t>
      </w:r>
      <w:r>
        <w:rPr>
          <w:rFonts w:hint="eastAsia"/>
          <w:color w:val="auto"/>
          <w:szCs w:val="21"/>
          <w:lang w:eastAsia="zh-CN"/>
        </w:rPr>
        <w:t>的节点</w:t>
      </w:r>
      <w:r>
        <w:rPr>
          <w:rFonts w:hint="eastAsia"/>
          <w:color w:val="auto"/>
          <w:szCs w:val="21"/>
        </w:rPr>
        <w:t>。</w:t>
      </w:r>
    </w:p>
    <w:p w14:paraId="1392C676">
      <w:pPr>
        <w:spacing w:line="360" w:lineRule="auto"/>
        <w:ind w:firstLine="422" w:firstLineChars="200"/>
        <w:rPr>
          <w:rFonts w:hint="eastAsia"/>
          <w:b/>
          <w:color w:val="auto"/>
          <w:szCs w:val="21"/>
          <w:lang w:val="en-US" w:eastAsia="zh-CN"/>
        </w:rPr>
      </w:pPr>
      <w:r>
        <w:rPr>
          <w:rFonts w:hint="eastAsia"/>
          <w:b/>
          <w:color w:val="auto"/>
          <w:szCs w:val="21"/>
          <w:lang w:val="en-US" w:eastAsia="zh-CN"/>
        </w:rPr>
        <w:t>五</w:t>
      </w:r>
      <w:r>
        <w:rPr>
          <w:rFonts w:hint="eastAsia"/>
          <w:b/>
          <w:color w:val="auto"/>
          <w:szCs w:val="21"/>
        </w:rPr>
        <w:t>、</w:t>
      </w:r>
      <w:r>
        <w:rPr>
          <w:rFonts w:hint="eastAsia"/>
          <w:b/>
          <w:color w:val="auto"/>
          <w:szCs w:val="21"/>
          <w:lang w:val="en-US" w:eastAsia="zh-CN"/>
        </w:rPr>
        <w:t>双方权利和义务</w:t>
      </w:r>
    </w:p>
    <w:p w14:paraId="7B6420A6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1.甲方的权利和义务</w:t>
      </w:r>
    </w:p>
    <w:p w14:paraId="66B8B299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（1）甲方有义务按照合同规定的支付方式和时间支付货款。</w:t>
      </w:r>
    </w:p>
    <w:p w14:paraId="7117DD6A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（2）甲方有义务在接收设备时进行验收和检查。</w:t>
      </w:r>
    </w:p>
    <w:p w14:paraId="15E62E53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（3）甲方应合理使用设备。</w:t>
      </w:r>
    </w:p>
    <w:p w14:paraId="505C491C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（4）如果合同中涉及商业秘密或敏感信息，甲方有义务对这些信息进行保密。</w:t>
      </w:r>
    </w:p>
    <w:p w14:paraId="32565782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2.乙方的权利和义务</w:t>
      </w:r>
    </w:p>
    <w:p w14:paraId="649A5E19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（1）乙方应按照合同规定的时间、地点和方式提供设备，并确保设备的完好无损。</w:t>
      </w:r>
    </w:p>
    <w:p w14:paraId="65198659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（2）乙方确保所提供的设备符合法律相关规定以及合同约定的质量标准、技术规格和性能要求。</w:t>
      </w:r>
    </w:p>
    <w:p w14:paraId="7E603D25">
      <w:pPr>
        <w:spacing w:line="360" w:lineRule="auto"/>
        <w:ind w:firstLine="420" w:firstLineChars="200"/>
        <w:rPr>
          <w:rFonts w:hint="default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（3）乙方应在提供设备时进行安装调试并进行相应培训。</w:t>
      </w:r>
    </w:p>
    <w:p w14:paraId="6D68FB22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（4）乙方按照合同要求妥善包装设备，并贴上必要的标记和标签。</w:t>
      </w:r>
    </w:p>
    <w:p w14:paraId="39BA1B7D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（5）乙方应提供与设备相关的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完整的技术资料</w:t>
      </w:r>
      <w:r>
        <w:rPr>
          <w:rFonts w:hint="eastAsia"/>
          <w:b w:val="0"/>
          <w:bCs/>
          <w:color w:val="auto"/>
          <w:szCs w:val="21"/>
          <w:lang w:val="en-US" w:eastAsia="zh-CN"/>
        </w:rPr>
        <w:t>，如操作手册、保修证书、合格证、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维修说明书</w:t>
      </w:r>
      <w:r>
        <w:rPr>
          <w:rFonts w:hint="eastAsia"/>
          <w:b w:val="0"/>
          <w:bCs/>
          <w:color w:val="auto"/>
          <w:szCs w:val="21"/>
          <w:lang w:val="en-US" w:eastAsia="zh-CN"/>
        </w:rPr>
        <w:t>等。</w:t>
      </w:r>
    </w:p>
    <w:p w14:paraId="7A2D9DA5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（6）乙方需要提供约定的售后服务和保修服务。若设备在保修期内出现问题，负责维修或更换。</w:t>
      </w:r>
    </w:p>
    <w:p w14:paraId="77234712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（7）乙方应保证所提供的设备不侵犯任何第三方的知识产权。</w:t>
      </w:r>
    </w:p>
    <w:p w14:paraId="43884E97">
      <w:pPr>
        <w:spacing w:line="360" w:lineRule="auto"/>
        <w:ind w:firstLine="420" w:firstLineChars="200"/>
        <w:rPr>
          <w:rFonts w:hint="default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（8）乙方应履行的与本合同相关的其他事宜。</w:t>
      </w:r>
    </w:p>
    <w:p w14:paraId="3CF29867">
      <w:pPr>
        <w:spacing w:line="360" w:lineRule="auto"/>
        <w:ind w:firstLine="422" w:firstLineChars="200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  <w:lang w:val="en-US" w:eastAsia="zh-CN"/>
        </w:rPr>
        <w:t>六、</w:t>
      </w:r>
      <w:r>
        <w:rPr>
          <w:rFonts w:hint="eastAsia"/>
          <w:b/>
          <w:color w:val="auto"/>
          <w:szCs w:val="21"/>
        </w:rPr>
        <w:t>质量保证及售后服务</w:t>
      </w:r>
    </w:p>
    <w:p w14:paraId="20060432">
      <w:pPr>
        <w:spacing w:line="360" w:lineRule="auto"/>
        <w:ind w:left="105" w:leftChars="50" w:firstLine="420" w:firstLineChars="200"/>
        <w:rPr>
          <w:rFonts w:hint="default" w:ascii="宋体" w:hAnsi="宋体" w:eastAsia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1.产品质量保证期为一年（自甲方验收合格并签字之日起计算），质保期内产品设备发生的任何质量问题，乙方应免费更换为全新设备及配件并进行安装，乙方承担由此产生的运费、人工费等费用，甲方无需承担任何费用。在质保期内乙方提供该合同项下设备的保养及更换配件；配合甲方完成所需的联网工作，提供本机地址码并派工程师到甲方现场协助完成。</w:t>
      </w:r>
      <w:r>
        <w:rPr>
          <w:rFonts w:hint="eastAsia"/>
          <w:color w:val="auto"/>
          <w:lang w:val="en-US" w:eastAsia="zh-CN"/>
        </w:rPr>
        <w:t xml:space="preserve">质保期内维修保养工程师姓名： </w:t>
      </w:r>
      <w:r>
        <w:rPr>
          <w:rFonts w:hint="eastAsia"/>
          <w:color w:val="auto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lang w:val="en-US" w:eastAsia="zh-CN"/>
        </w:rPr>
        <w:t xml:space="preserve"> 联系方式：</w:t>
      </w:r>
      <w:r>
        <w:rPr>
          <w:rFonts w:hint="eastAsia"/>
          <w:color w:val="auto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lang w:val="en-US" w:eastAsia="zh-CN"/>
        </w:rPr>
        <w:t xml:space="preserve"> 。  </w:t>
      </w:r>
    </w:p>
    <w:p w14:paraId="3CBDD237">
      <w:pPr>
        <w:spacing w:line="360" w:lineRule="auto"/>
        <w:ind w:left="105" w:leftChars="50" w:firstLine="420" w:firstLineChars="200"/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2.乙方接到故障报修后，响应时间应小于2小时，并须在故障发生后6小时内抵达甲方现场，在故障发生后24小时内排除故障。乙方应常年提供全新备用设备，如果设备需要更换，乙方应保证备用设备在故障发生后12小时内送到甲方现场。乙方未在本合同约定时间内履行义务的，甲方有权聘请第三方予以解决，产生的费用由乙方承担，第三方的维修不免除乙方后期的任何责任、义务，甲方仍有权要求乙方继续履行质保期内的维修、更换义务。</w:t>
      </w:r>
    </w:p>
    <w:p w14:paraId="201433F6">
      <w:pPr>
        <w:spacing w:line="360" w:lineRule="auto"/>
        <w:ind w:left="105" w:leftChars="50" w:firstLine="420" w:firstLineChars="200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3. 质保期后出现的设备故障，乙方仍有义务进行有偿维修，乙方保证在接到故障报修后7日内排除故障，更换配件并安装调试完毕，乙方承诺仅收取零件成本费（不高于当时甲方所在地的市场价格）及维修费用（不高于当时甲方所在地的市场价格）。</w:t>
      </w:r>
    </w:p>
    <w:p w14:paraId="04F794DA">
      <w:pPr>
        <w:spacing w:line="360" w:lineRule="auto"/>
        <w:ind w:left="105" w:leftChars="50"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七</w:t>
      </w:r>
      <w:r>
        <w:rPr>
          <w:rFonts w:hint="eastAsia" w:ascii="宋体" w:hAnsi="宋体"/>
          <w:b/>
          <w:bCs/>
          <w:color w:val="auto"/>
          <w:szCs w:val="21"/>
        </w:rPr>
        <w:t>、不可抗力</w:t>
      </w:r>
    </w:p>
    <w:p w14:paraId="1E649816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如果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甲乙</w:t>
      </w:r>
      <w:r>
        <w:rPr>
          <w:rFonts w:hint="eastAsia" w:ascii="宋体" w:hAnsi="宋体"/>
          <w:bCs/>
          <w:color w:val="auto"/>
          <w:szCs w:val="21"/>
        </w:rPr>
        <w:t>双方因不可抗力不能履行合同，如战争、火灾、洪水、台风、地震等原因，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甲乙</w:t>
      </w:r>
      <w:r>
        <w:rPr>
          <w:rFonts w:hint="eastAsia" w:ascii="宋体" w:hAnsi="宋体"/>
          <w:bCs/>
          <w:color w:val="auto"/>
          <w:szCs w:val="21"/>
        </w:rPr>
        <w:t>双方有责任尽快通知对方，并达成书面协议</w:t>
      </w:r>
      <w:r>
        <w:rPr>
          <w:rFonts w:hint="eastAsia" w:ascii="宋体" w:hAnsi="宋体"/>
          <w:color w:val="auto"/>
          <w:szCs w:val="21"/>
        </w:rPr>
        <w:t>。</w:t>
      </w:r>
    </w:p>
    <w:p w14:paraId="072B86DF">
      <w:pPr>
        <w:spacing w:line="360" w:lineRule="auto"/>
        <w:ind w:left="105" w:leftChars="50" w:firstLine="422" w:firstLineChars="200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val="en-US" w:eastAsia="zh-CN"/>
        </w:rPr>
        <w:t>八</w:t>
      </w:r>
      <w:r>
        <w:rPr>
          <w:rFonts w:hint="eastAsia" w:ascii="宋体" w:hAnsi="宋体"/>
          <w:b/>
          <w:color w:val="auto"/>
          <w:szCs w:val="21"/>
        </w:rPr>
        <w:t>、违约责任</w:t>
      </w:r>
    </w:p>
    <w:p w14:paraId="1DDE661F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1.若产品缺少相关证件，或提供产品与双方协商或招标时提供的参数、配置不一致，或产品存在质量问题</w:t>
      </w:r>
      <w:r>
        <w:rPr>
          <w:rFonts w:hint="eastAsia" w:ascii="宋体" w:hAnsi="宋体"/>
          <w:color w:val="auto"/>
          <w:szCs w:val="21"/>
          <w:lang w:val="en-US" w:eastAsia="zh-CN"/>
        </w:rPr>
        <w:t>需进行更换，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未在</w:t>
      </w:r>
      <w:r>
        <w:rPr>
          <w:rFonts w:hint="eastAsia" w:ascii="宋体" w:hAnsi="宋体"/>
          <w:color w:val="auto"/>
          <w:szCs w:val="21"/>
          <w:lang w:val="en-US" w:eastAsia="zh-CN"/>
        </w:rPr>
        <w:t>12小时内将新设备送到甲方现场</w:t>
      </w:r>
      <w:r>
        <w:rPr>
          <w:rFonts w:hint="eastAsia" w:ascii="宋体" w:hAnsi="宋体"/>
          <w:color w:val="auto"/>
          <w:szCs w:val="21"/>
        </w:rPr>
        <w:t>交货的，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均应无条件退货并</w:t>
      </w:r>
      <w:r>
        <w:rPr>
          <w:rFonts w:hint="eastAsia" w:ascii="宋体" w:hAnsi="宋体"/>
          <w:color w:val="auto"/>
          <w:szCs w:val="21"/>
          <w:lang w:eastAsia="zh-CN"/>
        </w:rPr>
        <w:t>承担</w:t>
      </w:r>
      <w:r>
        <w:rPr>
          <w:rFonts w:hint="eastAsia" w:ascii="宋体" w:hAnsi="宋体"/>
          <w:color w:val="auto"/>
          <w:szCs w:val="21"/>
          <w:lang w:val="en-US" w:eastAsia="zh-CN"/>
        </w:rPr>
        <w:t>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合同总金额10%的</w:t>
      </w:r>
      <w:r>
        <w:rPr>
          <w:rFonts w:hint="eastAsia" w:ascii="宋体" w:hAnsi="宋体"/>
          <w:color w:val="auto"/>
          <w:szCs w:val="21"/>
          <w:lang w:val="en-US" w:eastAsia="zh-CN"/>
        </w:rPr>
        <w:t>违约金</w:t>
      </w:r>
      <w:r>
        <w:rPr>
          <w:rFonts w:hint="eastAsia" w:ascii="宋体" w:hAnsi="宋体"/>
          <w:color w:val="auto"/>
          <w:szCs w:val="21"/>
        </w:rPr>
        <w:t>。</w:t>
      </w:r>
    </w:p>
    <w:p w14:paraId="40A8C6D2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</w:t>
      </w:r>
      <w:r>
        <w:rPr>
          <w:rFonts w:hint="eastAsia" w:ascii="宋体" w:hAnsi="宋体"/>
          <w:color w:val="auto"/>
          <w:szCs w:val="21"/>
        </w:rPr>
        <w:t>在该合同项下设备使用期间因质量问题产生任何赔偿义务的</w:t>
      </w:r>
      <w:r>
        <w:rPr>
          <w:rFonts w:hint="eastAsia" w:ascii="宋体" w:hAnsi="宋体"/>
          <w:color w:val="auto"/>
          <w:szCs w:val="21"/>
          <w:lang w:eastAsia="zh-CN"/>
        </w:rPr>
        <w:t>，乙方</w:t>
      </w:r>
      <w:r>
        <w:rPr>
          <w:rFonts w:hint="eastAsia" w:ascii="宋体" w:hAnsi="宋体"/>
          <w:color w:val="auto"/>
          <w:szCs w:val="21"/>
        </w:rPr>
        <w:t>无条件承担全部责任。</w:t>
      </w:r>
    </w:p>
    <w:p w14:paraId="510DC378">
      <w:pPr>
        <w:spacing w:line="360" w:lineRule="auto"/>
        <w:ind w:left="105" w:leftChars="50"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未能按照本合同约定</w:t>
      </w:r>
      <w:r>
        <w:rPr>
          <w:rFonts w:hint="eastAsia" w:ascii="宋体" w:hAnsi="宋体"/>
          <w:color w:val="auto"/>
          <w:szCs w:val="21"/>
          <w:lang w:val="en-US" w:eastAsia="zh-CN"/>
        </w:rPr>
        <w:t>承担相应义务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应承担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500   </w:t>
      </w:r>
      <w:r>
        <w:rPr>
          <w:rFonts w:hint="eastAsia" w:ascii="宋体" w:hAnsi="宋体"/>
          <w:color w:val="auto"/>
          <w:szCs w:val="21"/>
          <w:lang w:val="en-US" w:eastAsia="zh-CN"/>
        </w:rPr>
        <w:t>元/次（天）的</w:t>
      </w:r>
      <w:r>
        <w:rPr>
          <w:rFonts w:hint="eastAsia" w:ascii="宋体" w:hAnsi="宋体"/>
          <w:color w:val="auto"/>
          <w:szCs w:val="21"/>
        </w:rPr>
        <w:t>违约责任，</w:t>
      </w:r>
      <w:r>
        <w:rPr>
          <w:rFonts w:hint="eastAsia" w:ascii="宋体" w:hAnsi="宋体"/>
          <w:color w:val="auto"/>
          <w:szCs w:val="21"/>
          <w:lang w:val="en-US" w:eastAsia="zh-CN"/>
        </w:rPr>
        <w:t>并</w:t>
      </w:r>
      <w:r>
        <w:rPr>
          <w:rFonts w:hint="eastAsia" w:ascii="宋体" w:hAnsi="宋体"/>
          <w:color w:val="auto"/>
          <w:szCs w:val="21"/>
        </w:rPr>
        <w:t>赔偿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  <w:lang w:val="en-US" w:eastAsia="zh-CN"/>
        </w:rPr>
        <w:t>因乙方违约而产生的经济损失，如因</w:t>
      </w:r>
      <w:r>
        <w:rPr>
          <w:rFonts w:hint="eastAsia" w:ascii="宋体" w:hAnsi="宋体"/>
          <w:color w:val="auto"/>
          <w:szCs w:val="21"/>
        </w:rPr>
        <w:t>更换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</w:rPr>
        <w:t>维修产品</w:t>
      </w:r>
      <w:r>
        <w:rPr>
          <w:rFonts w:hint="eastAsia" w:ascii="宋体" w:hAnsi="宋体"/>
          <w:color w:val="auto"/>
          <w:szCs w:val="21"/>
          <w:lang w:val="en-US" w:eastAsia="zh-CN"/>
        </w:rPr>
        <w:t>所产生的损失</w:t>
      </w:r>
      <w:r>
        <w:rPr>
          <w:rFonts w:hint="eastAsia" w:ascii="宋体" w:hAnsi="宋体"/>
          <w:color w:val="auto"/>
          <w:szCs w:val="21"/>
          <w:lang w:eastAsia="zh-CN"/>
        </w:rPr>
        <w:t>。乙方累计违约达到</w:t>
      </w:r>
      <w:r>
        <w:rPr>
          <w:rFonts w:hint="eastAsia" w:ascii="宋体" w:hAnsi="宋体"/>
          <w:color w:val="auto"/>
          <w:szCs w:val="21"/>
          <w:lang w:val="en-US" w:eastAsia="zh-CN"/>
        </w:rPr>
        <w:t>3次（天），甲方有权单方解除本合同，甲方解除本合同的，乙方</w:t>
      </w:r>
      <w:r>
        <w:rPr>
          <w:rFonts w:hint="eastAsia" w:ascii="宋体" w:hAnsi="宋体"/>
          <w:color w:val="auto"/>
          <w:szCs w:val="21"/>
        </w:rPr>
        <w:t>赔偿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  <w:lang w:val="en-US" w:eastAsia="zh-CN"/>
        </w:rPr>
        <w:t>合同总金额的10%作为</w:t>
      </w:r>
      <w:r>
        <w:rPr>
          <w:rFonts w:hint="eastAsia" w:ascii="宋体" w:hAnsi="宋体"/>
          <w:color w:val="auto"/>
          <w:szCs w:val="21"/>
        </w:rPr>
        <w:t>违约金。</w:t>
      </w:r>
      <w:r>
        <w:rPr>
          <w:rFonts w:hint="eastAsia" w:ascii="宋体" w:hAnsi="宋体"/>
          <w:color w:val="auto"/>
          <w:szCs w:val="21"/>
          <w:lang w:eastAsia="zh-CN"/>
        </w:rPr>
        <w:t>质保期内</w:t>
      </w:r>
      <w:r>
        <w:rPr>
          <w:rFonts w:hint="eastAsia" w:ascii="宋体" w:hAnsi="宋体"/>
          <w:color w:val="auto"/>
          <w:szCs w:val="21"/>
          <w:lang w:val="en-US" w:eastAsia="zh-CN"/>
        </w:rPr>
        <w:t>乙方</w:t>
      </w:r>
      <w:r>
        <w:rPr>
          <w:rFonts w:hint="eastAsia" w:ascii="宋体" w:hAnsi="宋体"/>
          <w:color w:val="auto"/>
          <w:szCs w:val="21"/>
          <w:lang w:eastAsia="zh-CN"/>
        </w:rPr>
        <w:t>未履行质保义务的，甲方有权另行委托第三方，产生的费用由乙方承担且不免除甲方后期的任何责任，亦不免除其承担支付违约金的违约责任。</w:t>
      </w:r>
    </w:p>
    <w:p w14:paraId="1CD920A9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提供的产品不得有任何争议，不得侵犯他方的知识产权及任何权利，如发生侵权行为及其他纠纷，由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承担由此产生的一切法律责任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造成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经济损失的，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应承担全部赔偿责任。</w:t>
      </w:r>
    </w:p>
    <w:p w14:paraId="7A331542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.因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产品授权到期造成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经济损失以及影响</w:t>
      </w:r>
      <w:r>
        <w:rPr>
          <w:rFonts w:hint="eastAsia" w:ascii="宋体" w:hAnsi="宋体"/>
          <w:color w:val="auto"/>
          <w:szCs w:val="21"/>
          <w:lang w:val="en-US" w:eastAsia="zh-CN"/>
        </w:rPr>
        <w:t>器械</w:t>
      </w:r>
      <w:r>
        <w:rPr>
          <w:rFonts w:hint="eastAsia" w:ascii="宋体" w:hAnsi="宋体"/>
          <w:color w:val="auto"/>
          <w:szCs w:val="21"/>
        </w:rPr>
        <w:t>保修、维修损失的应由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赔偿。</w:t>
      </w:r>
    </w:p>
    <w:p w14:paraId="7D28A133">
      <w:pPr>
        <w:tabs>
          <w:tab w:val="left" w:pos="3000"/>
        </w:tabs>
        <w:spacing w:line="360" w:lineRule="auto"/>
        <w:ind w:left="105" w:leftChars="50"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九</w:t>
      </w:r>
      <w:r>
        <w:rPr>
          <w:rFonts w:hint="eastAsia" w:ascii="宋体" w:hAnsi="宋体"/>
          <w:b/>
          <w:bCs/>
          <w:color w:val="auto"/>
          <w:szCs w:val="21"/>
        </w:rPr>
        <w:t>、其它</w:t>
      </w:r>
    </w:p>
    <w:p w14:paraId="4D901800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1.本合同如发生争议，由争议双方协商解决</w:t>
      </w:r>
      <w:r>
        <w:rPr>
          <w:rFonts w:hint="eastAsia" w:ascii="宋体" w:hAnsi="宋体"/>
          <w:color w:val="auto"/>
          <w:szCs w:val="21"/>
          <w:lang w:eastAsia="zh-CN"/>
        </w:rPr>
        <w:t>，协商不成的交由甲方所在地人民法院诉讼解决</w:t>
      </w:r>
      <w:r>
        <w:rPr>
          <w:rFonts w:hint="eastAsia" w:ascii="宋体" w:hAnsi="宋体"/>
          <w:color w:val="auto"/>
          <w:szCs w:val="21"/>
        </w:rPr>
        <w:t>。</w:t>
      </w:r>
    </w:p>
    <w:p w14:paraId="5D9C21F4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2.本合同未尽事宜，双方达成一致，并签订书面协议作为本合同附件，与本合同具有同等效力。</w:t>
      </w:r>
    </w:p>
    <w:p w14:paraId="596EE1A9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/>
          <w:color w:val="auto"/>
          <w:szCs w:val="21"/>
        </w:rPr>
        <w:t>本合同一式叁份，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执2份，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执1份，自双方签字盖章之日起生效。</w:t>
      </w:r>
    </w:p>
    <w:p w14:paraId="54B26879">
      <w:pPr>
        <w:spacing w:line="360" w:lineRule="auto"/>
        <w:ind w:left="105" w:leftChars="50" w:firstLine="422" w:firstLineChars="20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  <w:t>十、附件：技术参数</w:t>
      </w:r>
    </w:p>
    <w:p w14:paraId="667A5CB8">
      <w:pPr>
        <w:spacing w:line="480" w:lineRule="auto"/>
        <w:ind w:right="-1233" w:rightChars="-587"/>
        <w:rPr>
          <w:rFonts w:hint="eastAsia" w:ascii="宋体" w:hAnsi="宋体"/>
          <w:color w:val="auto"/>
          <w:szCs w:val="21"/>
        </w:rPr>
      </w:pPr>
    </w:p>
    <w:p w14:paraId="40F5E879">
      <w:pPr>
        <w:spacing w:line="480" w:lineRule="auto"/>
        <w:ind w:right="-1233" w:rightChars="-587"/>
        <w:rPr>
          <w:rFonts w:hint="eastAsia" w:eastAsia="宋体"/>
          <w:color w:val="auto"/>
          <w:sz w:val="24"/>
          <w:u w:val="none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 xml:space="preserve">（盖章）： </w:t>
      </w:r>
      <w:r>
        <w:rPr>
          <w:rFonts w:hint="eastAsia" w:ascii="宋体" w:hAnsi="宋体"/>
          <w:color w:val="auto"/>
          <w:szCs w:val="21"/>
          <w:lang w:eastAsia="zh-CN"/>
        </w:rPr>
        <w:t>沈阳市第六人民医院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Cs w:val="21"/>
        </w:rPr>
        <w:t xml:space="preserve">     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（盖章）：</w:t>
      </w:r>
    </w:p>
    <w:p w14:paraId="38E0191E">
      <w:pPr>
        <w:spacing w:line="480" w:lineRule="auto"/>
        <w:ind w:right="-1233" w:rightChars="-587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法定代表或授权代表人签字：               法定代表或授权代表人签字：</w:t>
      </w:r>
    </w:p>
    <w:p w14:paraId="05A6FAFD">
      <w:pPr>
        <w:spacing w:line="320" w:lineRule="exact"/>
        <w:ind w:left="1050" w:hanging="1050" w:hangingChars="5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 xml:space="preserve">电话：                       </w:t>
      </w:r>
      <w:r>
        <w:rPr>
          <w:rFonts w:hint="eastAsia" w:ascii="宋体" w:hAnsi="宋体"/>
          <w:color w:val="auto"/>
          <w:lang w:val="en-US" w:eastAsia="zh-CN"/>
        </w:rPr>
        <w:t xml:space="preserve">            </w:t>
      </w:r>
      <w:r>
        <w:rPr>
          <w:rFonts w:hint="eastAsia" w:ascii="宋体" w:hAnsi="宋体"/>
          <w:color w:val="auto"/>
        </w:rPr>
        <w:t xml:space="preserve">电话：    </w:t>
      </w:r>
    </w:p>
    <w:p w14:paraId="6E20F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日期：    </w:t>
      </w:r>
      <w:r>
        <w:rPr>
          <w:rFonts w:hint="eastAsia" w:ascii="宋体" w:hAnsi="宋体"/>
          <w:color w:val="auto"/>
          <w:szCs w:val="21"/>
        </w:rPr>
        <w:t xml:space="preserve">年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</w:rPr>
        <w:t xml:space="preserve"> 月   日                  </w:t>
      </w:r>
      <w:r>
        <w:rPr>
          <w:rFonts w:hint="eastAsia" w:ascii="宋体" w:hAnsi="宋体"/>
          <w:color w:val="auto"/>
          <w:szCs w:val="21"/>
          <w:lang w:val="en-US" w:eastAsia="zh-CN"/>
        </w:rPr>
        <w:t>日期：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</w:rPr>
        <w:t>年   月   日</w:t>
      </w:r>
    </w:p>
    <w:p w14:paraId="0F71F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lang w:val="en-US" w:eastAsia="zh-CN"/>
        </w:rPr>
      </w:pPr>
    </w:p>
    <w:p w14:paraId="497A19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</w:pPr>
    </w:p>
    <w:p w14:paraId="696B20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</w:pPr>
    </w:p>
    <w:p w14:paraId="76249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  <w:t>附件：技术参数</w:t>
      </w:r>
    </w:p>
    <w:p w14:paraId="250CE282">
      <w:pPr>
        <w:jc w:val="both"/>
        <w:rPr>
          <w:rFonts w:hint="default" w:ascii="仿宋_GB2312" w:hAnsi="宋体" w:eastAsia="仿宋_GB2312"/>
          <w:b/>
          <w:sz w:val="32"/>
          <w:szCs w:val="32"/>
          <w:lang w:val="en-US"/>
        </w:rPr>
      </w:pPr>
    </w:p>
    <w:tbl>
      <w:tblPr>
        <w:tblStyle w:val="4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60"/>
        <w:gridCol w:w="1632"/>
        <w:gridCol w:w="3258"/>
        <w:gridCol w:w="2055"/>
      </w:tblGrid>
      <w:tr w14:paraId="4C4A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003E9006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 w14:paraId="121FFB81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</w:rPr>
              <w:t>分类</w:t>
            </w:r>
          </w:p>
        </w:tc>
        <w:tc>
          <w:tcPr>
            <w:tcW w:w="1632" w:type="dxa"/>
            <w:noWrap w:val="0"/>
            <w:vAlign w:val="center"/>
          </w:tcPr>
          <w:p w14:paraId="45B35C8A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</w:rPr>
              <w:t>性能及参数</w:t>
            </w:r>
          </w:p>
        </w:tc>
        <w:tc>
          <w:tcPr>
            <w:tcW w:w="3258" w:type="dxa"/>
            <w:noWrap w:val="0"/>
            <w:vAlign w:val="center"/>
          </w:tcPr>
          <w:p w14:paraId="5BA48450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</w:rPr>
              <w:t>内容</w:t>
            </w:r>
          </w:p>
        </w:tc>
        <w:tc>
          <w:tcPr>
            <w:tcW w:w="2055" w:type="dxa"/>
            <w:noWrap w:val="0"/>
            <w:vAlign w:val="center"/>
          </w:tcPr>
          <w:p w14:paraId="272D897E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</w:rPr>
              <w:t>备注</w:t>
            </w:r>
          </w:p>
        </w:tc>
      </w:tr>
      <w:tr w14:paraId="6920D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1" w:type="dxa"/>
            <w:noWrap w:val="0"/>
            <w:vAlign w:val="center"/>
          </w:tcPr>
          <w:p w14:paraId="21F83B60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1.1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7F128521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主机参数</w:t>
            </w:r>
          </w:p>
        </w:tc>
        <w:tc>
          <w:tcPr>
            <w:tcW w:w="1632" w:type="dxa"/>
            <w:noWrap w:val="0"/>
            <w:vAlign w:val="center"/>
          </w:tcPr>
          <w:p w14:paraId="696AABC7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射频频率</w:t>
            </w:r>
          </w:p>
        </w:tc>
        <w:tc>
          <w:tcPr>
            <w:tcW w:w="3258" w:type="dxa"/>
            <w:noWrap w:val="0"/>
            <w:vAlign w:val="center"/>
          </w:tcPr>
          <w:p w14:paraId="0BF33BE5">
            <w:pPr>
              <w:spacing w:line="360" w:lineRule="auto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400KHz±25KHz</w:t>
            </w:r>
          </w:p>
        </w:tc>
        <w:tc>
          <w:tcPr>
            <w:tcW w:w="2055" w:type="dxa"/>
            <w:noWrap w:val="0"/>
            <w:vAlign w:val="center"/>
          </w:tcPr>
          <w:p w14:paraId="37D11CB6">
            <w:pPr>
              <w:spacing w:line="360" w:lineRule="auto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 w14:paraId="7F90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1" w:type="dxa"/>
            <w:noWrap w:val="0"/>
            <w:vAlign w:val="center"/>
          </w:tcPr>
          <w:p w14:paraId="0CBE9E66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1.2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37AD6B7F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36F490D3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输出功率</w:t>
            </w:r>
          </w:p>
        </w:tc>
        <w:tc>
          <w:tcPr>
            <w:tcW w:w="3258" w:type="dxa"/>
            <w:noWrap w:val="0"/>
            <w:vAlign w:val="center"/>
          </w:tcPr>
          <w:p w14:paraId="29CE3F2B">
            <w:pPr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功率模式120W/负载30Ω；定时模式80W/负载50Ω；针道模式 200W/80Ω;</w:t>
            </w:r>
          </w:p>
        </w:tc>
        <w:tc>
          <w:tcPr>
            <w:tcW w:w="2055" w:type="dxa"/>
            <w:noWrap w:val="0"/>
            <w:vAlign w:val="center"/>
          </w:tcPr>
          <w:p w14:paraId="2B91DCC6">
            <w:pPr>
              <w:spacing w:line="360" w:lineRule="auto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误差≤20%</w:t>
            </w:r>
          </w:p>
        </w:tc>
      </w:tr>
      <w:tr w14:paraId="4388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51" w:type="dxa"/>
            <w:noWrap w:val="0"/>
            <w:vAlign w:val="center"/>
          </w:tcPr>
          <w:p w14:paraId="56629EF7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1.3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53CC3BEC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2127B7F8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阻抗范围</w:t>
            </w:r>
          </w:p>
        </w:tc>
        <w:tc>
          <w:tcPr>
            <w:tcW w:w="3258" w:type="dxa"/>
            <w:noWrap w:val="0"/>
            <w:vAlign w:val="center"/>
          </w:tcPr>
          <w:p w14:paraId="2DEA6652">
            <w:pPr>
              <w:spacing w:line="360" w:lineRule="auto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sz w:val="24"/>
              </w:rPr>
              <w:t>Ω-100Ω 具有数字显示</w:t>
            </w:r>
          </w:p>
        </w:tc>
        <w:tc>
          <w:tcPr>
            <w:tcW w:w="2055" w:type="dxa"/>
            <w:noWrap w:val="0"/>
            <w:vAlign w:val="center"/>
          </w:tcPr>
          <w:p w14:paraId="5FE2CC06">
            <w:pPr>
              <w:spacing w:line="360" w:lineRule="auto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误差≤20%</w:t>
            </w:r>
          </w:p>
        </w:tc>
      </w:tr>
      <w:tr w14:paraId="6DA4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51" w:type="dxa"/>
            <w:noWrap w:val="0"/>
            <w:vAlign w:val="center"/>
          </w:tcPr>
          <w:p w14:paraId="4A7150EB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2.1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790A74D6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主机功能</w:t>
            </w:r>
          </w:p>
        </w:tc>
        <w:tc>
          <w:tcPr>
            <w:tcW w:w="1632" w:type="dxa"/>
            <w:noWrap w:val="0"/>
            <w:vAlign w:val="center"/>
          </w:tcPr>
          <w:p w14:paraId="72F519A7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自动识别电极类型</w:t>
            </w:r>
          </w:p>
        </w:tc>
        <w:tc>
          <w:tcPr>
            <w:tcW w:w="3258" w:type="dxa"/>
            <w:noWrap w:val="0"/>
            <w:vAlign w:val="center"/>
          </w:tcPr>
          <w:p w14:paraId="26A18559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单针、多针、凝血并有代码显示</w:t>
            </w:r>
          </w:p>
        </w:tc>
        <w:tc>
          <w:tcPr>
            <w:tcW w:w="2055" w:type="dxa"/>
            <w:noWrap w:val="0"/>
            <w:vAlign w:val="center"/>
          </w:tcPr>
          <w:p w14:paraId="243CB86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5DB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51" w:type="dxa"/>
            <w:noWrap w:val="0"/>
            <w:vAlign w:val="center"/>
          </w:tcPr>
          <w:p w14:paraId="65622F73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2.2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3BC25293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049F32AD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功率模式</w:t>
            </w:r>
          </w:p>
        </w:tc>
        <w:tc>
          <w:tcPr>
            <w:tcW w:w="3258" w:type="dxa"/>
            <w:noWrap w:val="0"/>
            <w:vAlign w:val="center"/>
          </w:tcPr>
          <w:p w14:paraId="0B30955D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</w:t>
            </w:r>
            <w:r>
              <w:rPr>
                <w:rFonts w:hint="eastAsia" w:ascii="仿宋_GB2312" w:hAnsi="宋体"/>
                <w:sz w:val="24"/>
              </w:rPr>
              <w:t>―</w:t>
            </w:r>
            <w:r>
              <w:rPr>
                <w:rFonts w:hint="eastAsia" w:ascii="仿宋_GB2312" w:hAnsi="宋体" w:eastAsia="仿宋_GB2312"/>
                <w:sz w:val="24"/>
              </w:rPr>
              <w:t>120W可调</w:t>
            </w:r>
          </w:p>
        </w:tc>
        <w:tc>
          <w:tcPr>
            <w:tcW w:w="2055" w:type="dxa"/>
            <w:noWrap w:val="0"/>
            <w:vAlign w:val="center"/>
          </w:tcPr>
          <w:p w14:paraId="5474B3F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75C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51" w:type="dxa"/>
            <w:noWrap w:val="0"/>
            <w:vAlign w:val="center"/>
          </w:tcPr>
          <w:p w14:paraId="281E51FF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2.3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2D04772E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079756BB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针道模式</w:t>
            </w:r>
          </w:p>
        </w:tc>
        <w:tc>
          <w:tcPr>
            <w:tcW w:w="3258" w:type="dxa"/>
            <w:noWrap w:val="0"/>
            <w:vAlign w:val="center"/>
          </w:tcPr>
          <w:p w14:paraId="3961783B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</w:t>
            </w:r>
            <w:r>
              <w:rPr>
                <w:rFonts w:hint="eastAsia" w:ascii="仿宋_GB2312" w:hAnsi="宋体"/>
                <w:sz w:val="24"/>
              </w:rPr>
              <w:t>―</w:t>
            </w:r>
            <w:r>
              <w:rPr>
                <w:rFonts w:hint="eastAsia" w:ascii="仿宋_GB2312" w:hAnsi="宋体" w:eastAsia="仿宋_GB2312"/>
                <w:sz w:val="24"/>
              </w:rPr>
              <w:t>200W可调</w:t>
            </w:r>
          </w:p>
        </w:tc>
        <w:tc>
          <w:tcPr>
            <w:tcW w:w="2055" w:type="dxa"/>
            <w:noWrap w:val="0"/>
            <w:vAlign w:val="center"/>
          </w:tcPr>
          <w:p w14:paraId="66EF9B1F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 w14:paraId="556D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noWrap w:val="0"/>
            <w:vAlign w:val="center"/>
          </w:tcPr>
          <w:p w14:paraId="79E05B68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2.4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73686A23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4A479C29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定时模式</w:t>
            </w:r>
          </w:p>
        </w:tc>
        <w:tc>
          <w:tcPr>
            <w:tcW w:w="3258" w:type="dxa"/>
            <w:noWrap w:val="0"/>
            <w:vAlign w:val="center"/>
          </w:tcPr>
          <w:p w14:paraId="26B4104A">
            <w:pPr>
              <w:spacing w:line="360" w:lineRule="auto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0</w:t>
            </w:r>
            <w:r>
              <w:rPr>
                <w:rFonts w:hint="eastAsia" w:ascii="仿宋_GB2312" w:hAnsi="宋体"/>
                <w:sz w:val="24"/>
              </w:rPr>
              <w:t>―</w:t>
            </w:r>
            <w:r>
              <w:rPr>
                <w:rFonts w:hint="eastAsia" w:ascii="仿宋_GB2312" w:hAnsi="宋体" w:eastAsia="仿宋_GB2312"/>
                <w:sz w:val="24"/>
              </w:rPr>
              <w:t>15’50”可调</w:t>
            </w:r>
          </w:p>
        </w:tc>
        <w:tc>
          <w:tcPr>
            <w:tcW w:w="2055" w:type="dxa"/>
            <w:noWrap w:val="0"/>
            <w:vAlign w:val="center"/>
          </w:tcPr>
          <w:p w14:paraId="1CF087CB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单针电极适用</w:t>
            </w:r>
          </w:p>
        </w:tc>
      </w:tr>
      <w:tr w14:paraId="0BB7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51" w:type="dxa"/>
            <w:noWrap w:val="0"/>
            <w:vAlign w:val="center"/>
          </w:tcPr>
          <w:p w14:paraId="1DCFFB59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</w:t>
            </w:r>
            <w:r>
              <w:rPr>
                <w:rFonts w:hint="eastAsia" w:ascii="仿宋_GB2312" w:hAnsi="宋体" w:eastAsia="仿宋_GB2312" w:cs="Arial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37920158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0A091905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能量自动控制功能</w:t>
            </w:r>
          </w:p>
        </w:tc>
        <w:tc>
          <w:tcPr>
            <w:tcW w:w="3258" w:type="dxa"/>
            <w:noWrap w:val="0"/>
            <w:vAlign w:val="top"/>
          </w:tcPr>
          <w:p w14:paraId="0D1DC46D">
            <w:pPr>
              <w:spacing w:line="360" w:lineRule="auto"/>
              <w:rPr>
                <w:rFonts w:hint="eastAsia" w:ascii="仿宋_GB2312" w:hAnsi="宋体" w:eastAsia="仿宋_GB2312" w:cs="Arial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系统根据设置的时间自动调节能量输出。</w:t>
            </w:r>
          </w:p>
        </w:tc>
        <w:tc>
          <w:tcPr>
            <w:tcW w:w="2055" w:type="dxa"/>
            <w:noWrap w:val="0"/>
            <w:vAlign w:val="center"/>
          </w:tcPr>
          <w:p w14:paraId="3154E54D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定时模式</w:t>
            </w:r>
          </w:p>
        </w:tc>
      </w:tr>
      <w:tr w14:paraId="4D10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51" w:type="dxa"/>
            <w:noWrap w:val="0"/>
            <w:vAlign w:val="center"/>
          </w:tcPr>
          <w:p w14:paraId="26C0427F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</w:t>
            </w:r>
            <w:r>
              <w:rPr>
                <w:rFonts w:hint="eastAsia" w:ascii="仿宋_GB2312" w:hAnsi="宋体" w:eastAsia="仿宋_GB2312" w:cs="Arial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2E2986E1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6785BBBE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能量自动补偿功能</w:t>
            </w:r>
          </w:p>
        </w:tc>
        <w:tc>
          <w:tcPr>
            <w:tcW w:w="3258" w:type="dxa"/>
            <w:noWrap w:val="0"/>
            <w:vAlign w:val="top"/>
          </w:tcPr>
          <w:p w14:paraId="3EEA5624">
            <w:pPr>
              <w:spacing w:line="360" w:lineRule="auto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自动补偿治疗过程中的热量损耗，充分保证病灶组织的蛋白变性。</w:t>
            </w:r>
          </w:p>
        </w:tc>
        <w:tc>
          <w:tcPr>
            <w:tcW w:w="2055" w:type="dxa"/>
            <w:noWrap w:val="0"/>
            <w:vAlign w:val="center"/>
          </w:tcPr>
          <w:p w14:paraId="78CBC92E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定时模式</w:t>
            </w:r>
          </w:p>
        </w:tc>
      </w:tr>
      <w:tr w14:paraId="0A7E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51" w:type="dxa"/>
            <w:noWrap w:val="0"/>
            <w:vAlign w:val="center"/>
          </w:tcPr>
          <w:p w14:paraId="4FDBE078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</w:t>
            </w:r>
            <w:r>
              <w:rPr>
                <w:rFonts w:hint="eastAsia" w:ascii="仿宋_GB2312" w:hAnsi="宋体" w:eastAsia="仿宋_GB2312" w:cs="Arial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3A3776D2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27C11FA0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针道模式</w:t>
            </w:r>
          </w:p>
        </w:tc>
        <w:tc>
          <w:tcPr>
            <w:tcW w:w="3258" w:type="dxa"/>
            <w:noWrap w:val="0"/>
            <w:vAlign w:val="center"/>
          </w:tcPr>
          <w:p w14:paraId="02B58C4D">
            <w:pPr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医生只需选择针道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烧灼功能，就可完成针道烧灼，有效避免了针道烧灼不全和术后出血。</w:t>
            </w:r>
          </w:p>
        </w:tc>
        <w:tc>
          <w:tcPr>
            <w:tcW w:w="2055" w:type="dxa"/>
            <w:noWrap w:val="0"/>
            <w:vAlign w:val="center"/>
          </w:tcPr>
          <w:p w14:paraId="1A4F780B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</w:p>
        </w:tc>
      </w:tr>
      <w:tr w14:paraId="26FB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1" w:type="dxa"/>
            <w:noWrap w:val="0"/>
            <w:vAlign w:val="center"/>
          </w:tcPr>
          <w:p w14:paraId="57A7C5B9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</w:t>
            </w:r>
            <w:r>
              <w:rPr>
                <w:rFonts w:hint="eastAsia" w:ascii="仿宋_GB2312" w:hAnsi="宋体" w:eastAsia="仿宋_GB2312" w:cs="Arial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038274BA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3E488C79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阻抗监测</w:t>
            </w:r>
          </w:p>
        </w:tc>
        <w:tc>
          <w:tcPr>
            <w:tcW w:w="3258" w:type="dxa"/>
            <w:noWrap w:val="0"/>
            <w:vAlign w:val="center"/>
          </w:tcPr>
          <w:p w14:paraId="0F31F21B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全程监测病灶的阻抗变化</w:t>
            </w:r>
          </w:p>
        </w:tc>
        <w:tc>
          <w:tcPr>
            <w:tcW w:w="2055" w:type="dxa"/>
            <w:noWrap w:val="0"/>
            <w:vAlign w:val="center"/>
          </w:tcPr>
          <w:p w14:paraId="464BB89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0177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1" w:type="dxa"/>
            <w:noWrap w:val="0"/>
            <w:vAlign w:val="center"/>
          </w:tcPr>
          <w:p w14:paraId="109F6404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</w:t>
            </w:r>
            <w:r>
              <w:rPr>
                <w:rFonts w:hint="eastAsia" w:ascii="仿宋_GB2312" w:hAnsi="宋体" w:eastAsia="仿宋_GB2312" w:cs="Arial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18299BE4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68A20DEE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温度监测</w:t>
            </w:r>
          </w:p>
        </w:tc>
        <w:tc>
          <w:tcPr>
            <w:tcW w:w="3258" w:type="dxa"/>
            <w:noWrap w:val="0"/>
            <w:vAlign w:val="center"/>
          </w:tcPr>
          <w:p w14:paraId="75486764">
            <w:pPr>
              <w:spacing w:line="360" w:lineRule="auto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具有温度</w:t>
            </w:r>
            <w:r>
              <w:rPr>
                <w:rFonts w:hint="eastAsia" w:ascii="仿宋_GB2312" w:hAnsi="宋体" w:eastAsia="仿宋_GB2312" w:cs="Arial"/>
                <w:bCs/>
                <w:sz w:val="24"/>
              </w:rPr>
              <w:t>监测功能，并可以连接单独温度探头。</w:t>
            </w:r>
          </w:p>
        </w:tc>
        <w:tc>
          <w:tcPr>
            <w:tcW w:w="2055" w:type="dxa"/>
            <w:noWrap w:val="0"/>
            <w:vAlign w:val="center"/>
          </w:tcPr>
          <w:p w14:paraId="70B3869F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温度探头为选配件</w:t>
            </w:r>
          </w:p>
        </w:tc>
      </w:tr>
      <w:tr w14:paraId="2B64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751" w:type="dxa"/>
            <w:noWrap w:val="0"/>
            <w:vAlign w:val="center"/>
          </w:tcPr>
          <w:p w14:paraId="0A48E243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2.1</w:t>
            </w:r>
            <w:r>
              <w:rPr>
                <w:rFonts w:hint="eastAsia" w:ascii="仿宋_GB2312" w:hAnsi="宋体" w:eastAsia="仿宋_GB2312" w:cs="Arial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0EFE2450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00D2DAFE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双极疗法</w:t>
            </w:r>
          </w:p>
        </w:tc>
        <w:tc>
          <w:tcPr>
            <w:tcW w:w="3258" w:type="dxa"/>
            <w:noWrap w:val="0"/>
            <w:vAlign w:val="top"/>
          </w:tcPr>
          <w:p w14:paraId="20876DFD">
            <w:pPr>
              <w:spacing w:line="360" w:lineRule="auto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热转换率高,没有中性电极，不会因为中性电极粘贴不好而烧伤皮肤</w:t>
            </w:r>
            <w:r>
              <w:rPr>
                <w:rFonts w:hint="eastAsia" w:ascii="仿宋_GB2312" w:hAnsi="宋体" w:eastAsia="仿宋_GB2312" w:cs="Arial"/>
                <w:sz w:val="24"/>
              </w:rPr>
              <w:t>。</w:t>
            </w:r>
          </w:p>
        </w:tc>
        <w:tc>
          <w:tcPr>
            <w:tcW w:w="2055" w:type="dxa"/>
            <w:noWrap w:val="0"/>
            <w:vAlign w:val="center"/>
          </w:tcPr>
          <w:p w14:paraId="6B68DEB4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凝血电极适用</w:t>
            </w:r>
          </w:p>
        </w:tc>
      </w:tr>
      <w:tr w14:paraId="24B1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51" w:type="dxa"/>
            <w:noWrap w:val="0"/>
            <w:vAlign w:val="center"/>
          </w:tcPr>
          <w:p w14:paraId="76D115EA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3.0</w:t>
            </w:r>
          </w:p>
        </w:tc>
        <w:tc>
          <w:tcPr>
            <w:tcW w:w="1260" w:type="dxa"/>
            <w:noWrap w:val="0"/>
            <w:vAlign w:val="center"/>
          </w:tcPr>
          <w:p w14:paraId="6E6757CA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eastAsia="zh-CN"/>
              </w:rPr>
              <w:t>射频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电极</w:t>
            </w:r>
          </w:p>
        </w:tc>
        <w:tc>
          <w:tcPr>
            <w:tcW w:w="1632" w:type="dxa"/>
            <w:noWrap w:val="0"/>
            <w:vAlign w:val="center"/>
          </w:tcPr>
          <w:p w14:paraId="2FDCF93B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多针电极</w:t>
            </w:r>
          </w:p>
        </w:tc>
        <w:tc>
          <w:tcPr>
            <w:tcW w:w="3258" w:type="dxa"/>
            <w:noWrap w:val="0"/>
            <w:vAlign w:val="center"/>
          </w:tcPr>
          <w:p w14:paraId="1DAD2584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旋转式多弹头治疗电极，在治疗过程中可根据需要增大或缩小。</w:t>
            </w:r>
          </w:p>
        </w:tc>
        <w:tc>
          <w:tcPr>
            <w:tcW w:w="2055" w:type="dxa"/>
            <w:noWrap w:val="0"/>
            <w:vAlign w:val="center"/>
          </w:tcPr>
          <w:p w14:paraId="5C0FB235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 w14:paraId="5320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1" w:type="dxa"/>
            <w:noWrap w:val="0"/>
            <w:vAlign w:val="center"/>
          </w:tcPr>
          <w:p w14:paraId="6196D048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3.1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10762304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58F429FB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单针电极</w:t>
            </w:r>
          </w:p>
        </w:tc>
        <w:tc>
          <w:tcPr>
            <w:tcW w:w="3258" w:type="dxa"/>
            <w:noWrap w:val="0"/>
            <w:vAlign w:val="center"/>
          </w:tcPr>
          <w:p w14:paraId="311EAC1B">
            <w:pPr>
              <w:spacing w:line="360" w:lineRule="auto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有液体内循环通道，适用小病灶及特殊部位的治疗。</w:t>
            </w:r>
          </w:p>
        </w:tc>
        <w:tc>
          <w:tcPr>
            <w:tcW w:w="2055" w:type="dxa"/>
            <w:noWrap w:val="0"/>
            <w:vAlign w:val="center"/>
          </w:tcPr>
          <w:p w14:paraId="761A9D47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 w14:paraId="1DE5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51" w:type="dxa"/>
            <w:noWrap w:val="0"/>
            <w:vAlign w:val="center"/>
          </w:tcPr>
          <w:p w14:paraId="0DF5B78E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3.2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51CC5E93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114D1615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凝血电极</w:t>
            </w:r>
          </w:p>
        </w:tc>
        <w:tc>
          <w:tcPr>
            <w:tcW w:w="3258" w:type="dxa"/>
            <w:noWrap w:val="0"/>
            <w:vAlign w:val="center"/>
          </w:tcPr>
          <w:p w14:paraId="33282D8E">
            <w:pPr>
              <w:spacing w:line="360" w:lineRule="auto"/>
              <w:jc w:val="left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四根电极针可同时工作,</w:t>
            </w:r>
            <w:r>
              <w:rPr>
                <w:rFonts w:hint="eastAsia" w:ascii="仿宋_GB2312" w:hAnsi="宋体" w:eastAsia="仿宋_GB2312"/>
                <w:sz w:val="24"/>
              </w:rPr>
              <w:t xml:space="preserve"> 热转换率高</w:t>
            </w:r>
            <w:r>
              <w:rPr>
                <w:rFonts w:hint="eastAsia" w:ascii="仿宋_GB2312" w:hAnsi="宋体" w:eastAsia="仿宋_GB2312" w:cs="Arial"/>
                <w:sz w:val="24"/>
              </w:rPr>
              <w:t>。</w:t>
            </w:r>
          </w:p>
        </w:tc>
        <w:tc>
          <w:tcPr>
            <w:tcW w:w="2055" w:type="dxa"/>
            <w:noWrap w:val="0"/>
            <w:vAlign w:val="center"/>
          </w:tcPr>
          <w:p w14:paraId="6CA4BD4B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 w14:paraId="7B05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51" w:type="dxa"/>
            <w:noWrap w:val="0"/>
            <w:vAlign w:val="center"/>
          </w:tcPr>
          <w:p w14:paraId="1AA52E1A">
            <w:pPr>
              <w:spacing w:line="360" w:lineRule="auto"/>
              <w:jc w:val="center"/>
              <w:rPr>
                <w:rFonts w:hint="default" w:ascii="仿宋_GB2312" w:hAnsi="宋体" w:eastAsia="仿宋_GB2312" w:cs="Arial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  <w:lang w:val="en-US" w:eastAsia="zh-CN"/>
              </w:rPr>
              <w:t>3.3</w:t>
            </w:r>
          </w:p>
        </w:tc>
        <w:tc>
          <w:tcPr>
            <w:tcW w:w="1260" w:type="dxa"/>
            <w:noWrap w:val="0"/>
            <w:vAlign w:val="center"/>
          </w:tcPr>
          <w:p w14:paraId="360ADA46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5DACF7F1">
            <w:pPr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冷循环可调射频电极</w:t>
            </w:r>
          </w:p>
        </w:tc>
        <w:tc>
          <w:tcPr>
            <w:tcW w:w="3258" w:type="dxa"/>
            <w:noWrap w:val="0"/>
            <w:vAlign w:val="center"/>
          </w:tcPr>
          <w:p w14:paraId="0144CB07">
            <w:pPr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电极有可调节绝缘层，可调范围5-40mm，可以满足单个患者多发病灶的消融治疗。</w:t>
            </w:r>
          </w:p>
        </w:tc>
        <w:tc>
          <w:tcPr>
            <w:tcW w:w="2055" w:type="dxa"/>
            <w:noWrap w:val="0"/>
            <w:vAlign w:val="center"/>
          </w:tcPr>
          <w:p w14:paraId="40A6A51A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 w14:paraId="04C6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1" w:type="dxa"/>
            <w:noWrap w:val="0"/>
            <w:vAlign w:val="center"/>
          </w:tcPr>
          <w:p w14:paraId="6E94D6F5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4.1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1AE95C83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辅助功能</w:t>
            </w:r>
          </w:p>
        </w:tc>
        <w:tc>
          <w:tcPr>
            <w:tcW w:w="1632" w:type="dxa"/>
            <w:noWrap w:val="0"/>
            <w:vAlign w:val="center"/>
          </w:tcPr>
          <w:p w14:paraId="26F30F3D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自检功能</w:t>
            </w:r>
          </w:p>
        </w:tc>
        <w:tc>
          <w:tcPr>
            <w:tcW w:w="3258" w:type="dxa"/>
            <w:noWrap w:val="0"/>
            <w:vAlign w:val="center"/>
          </w:tcPr>
          <w:p w14:paraId="0B067ACB">
            <w:pPr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具有开机自检功能</w:t>
            </w:r>
          </w:p>
        </w:tc>
        <w:tc>
          <w:tcPr>
            <w:tcW w:w="2055" w:type="dxa"/>
            <w:noWrap w:val="0"/>
            <w:vAlign w:val="center"/>
          </w:tcPr>
          <w:p w14:paraId="3E952029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 w14:paraId="4263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1" w:type="dxa"/>
            <w:noWrap w:val="0"/>
            <w:vAlign w:val="center"/>
          </w:tcPr>
          <w:p w14:paraId="7196F501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4.2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2B085AA2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6D3B9A3E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电极检测功能</w:t>
            </w:r>
          </w:p>
        </w:tc>
        <w:tc>
          <w:tcPr>
            <w:tcW w:w="3258" w:type="dxa"/>
            <w:noWrap w:val="0"/>
            <w:vAlign w:val="center"/>
          </w:tcPr>
          <w:p w14:paraId="65ED9B92">
            <w:pPr>
              <w:spacing w:line="360" w:lineRule="auto"/>
              <w:jc w:val="left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具有手术电极和中性电极断开检测功能，并停止能量输出，更加安全可靠</w:t>
            </w:r>
          </w:p>
        </w:tc>
        <w:tc>
          <w:tcPr>
            <w:tcW w:w="2055" w:type="dxa"/>
            <w:noWrap w:val="0"/>
            <w:vAlign w:val="center"/>
          </w:tcPr>
          <w:p w14:paraId="25F8A83B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 w14:paraId="5287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Merge w:val="restart"/>
            <w:noWrap w:val="0"/>
            <w:vAlign w:val="center"/>
          </w:tcPr>
          <w:p w14:paraId="1BAC2B5C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5.1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236802D7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</w:rPr>
              <w:t>软件</w:t>
            </w:r>
          </w:p>
        </w:tc>
        <w:tc>
          <w:tcPr>
            <w:tcW w:w="4890" w:type="dxa"/>
            <w:gridSpan w:val="2"/>
            <w:noWrap w:val="0"/>
            <w:vAlign w:val="center"/>
          </w:tcPr>
          <w:p w14:paraId="216D12E8">
            <w:pPr>
              <w:spacing w:line="360" w:lineRule="auto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肿瘤射频监控软件</w:t>
            </w:r>
          </w:p>
        </w:tc>
        <w:tc>
          <w:tcPr>
            <w:tcW w:w="2055" w:type="dxa"/>
            <w:noWrap w:val="0"/>
            <w:vAlign w:val="center"/>
          </w:tcPr>
          <w:p w14:paraId="14863B10">
            <w:pPr>
              <w:spacing w:line="360" w:lineRule="auto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证书号：软著登字第1109764号</w:t>
            </w:r>
          </w:p>
        </w:tc>
      </w:tr>
      <w:tr w14:paraId="1301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Merge w:val="continue"/>
            <w:noWrap w:val="0"/>
            <w:vAlign w:val="center"/>
          </w:tcPr>
          <w:p w14:paraId="2DFE82F1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016CD080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</w:rPr>
            </w:pPr>
          </w:p>
        </w:tc>
        <w:tc>
          <w:tcPr>
            <w:tcW w:w="4890" w:type="dxa"/>
            <w:gridSpan w:val="2"/>
            <w:noWrap w:val="0"/>
            <w:vAlign w:val="center"/>
          </w:tcPr>
          <w:p w14:paraId="586BBF27">
            <w:pPr>
              <w:spacing w:line="360" w:lineRule="auto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单针电极监控软件</w:t>
            </w:r>
          </w:p>
        </w:tc>
        <w:tc>
          <w:tcPr>
            <w:tcW w:w="2055" w:type="dxa"/>
            <w:noWrap w:val="0"/>
            <w:vAlign w:val="center"/>
          </w:tcPr>
          <w:p w14:paraId="4223D03C">
            <w:pPr>
              <w:spacing w:line="360" w:lineRule="auto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证书号：软著登字第1109430号</w:t>
            </w:r>
          </w:p>
        </w:tc>
      </w:tr>
      <w:tr w14:paraId="24CD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Merge w:val="continue"/>
            <w:noWrap w:val="0"/>
            <w:vAlign w:val="center"/>
          </w:tcPr>
          <w:p w14:paraId="2EB10C1C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4448ECF5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</w:rPr>
            </w:pPr>
          </w:p>
        </w:tc>
        <w:tc>
          <w:tcPr>
            <w:tcW w:w="4890" w:type="dxa"/>
            <w:gridSpan w:val="2"/>
            <w:noWrap w:val="0"/>
            <w:vAlign w:val="center"/>
          </w:tcPr>
          <w:p w14:paraId="3A180388">
            <w:pPr>
              <w:spacing w:line="360" w:lineRule="auto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多针电极监控软件</w:t>
            </w:r>
          </w:p>
        </w:tc>
        <w:tc>
          <w:tcPr>
            <w:tcW w:w="2055" w:type="dxa"/>
            <w:noWrap w:val="0"/>
            <w:vAlign w:val="center"/>
          </w:tcPr>
          <w:p w14:paraId="6CEA865F">
            <w:pPr>
              <w:spacing w:line="360" w:lineRule="auto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证书号：软著登字第1107896号</w:t>
            </w:r>
          </w:p>
        </w:tc>
      </w:tr>
      <w:tr w14:paraId="43BC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Merge w:val="continue"/>
            <w:noWrap w:val="0"/>
            <w:vAlign w:val="center"/>
          </w:tcPr>
          <w:p w14:paraId="6DD53085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1BE14B2C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</w:rPr>
            </w:pPr>
          </w:p>
        </w:tc>
        <w:tc>
          <w:tcPr>
            <w:tcW w:w="4890" w:type="dxa"/>
            <w:gridSpan w:val="2"/>
            <w:noWrap w:val="0"/>
            <w:vAlign w:val="center"/>
          </w:tcPr>
          <w:p w14:paraId="27032D80">
            <w:pPr>
              <w:spacing w:line="360" w:lineRule="auto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凝血电极监控软件</w:t>
            </w:r>
          </w:p>
        </w:tc>
        <w:tc>
          <w:tcPr>
            <w:tcW w:w="2055" w:type="dxa"/>
            <w:noWrap w:val="0"/>
            <w:vAlign w:val="center"/>
          </w:tcPr>
          <w:p w14:paraId="63E9594C">
            <w:pPr>
              <w:spacing w:line="360" w:lineRule="auto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证书号：软著登字第1109740号</w:t>
            </w:r>
          </w:p>
        </w:tc>
      </w:tr>
      <w:tr w14:paraId="3FBA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Merge w:val="continue"/>
            <w:noWrap w:val="0"/>
            <w:vAlign w:val="center"/>
          </w:tcPr>
          <w:p w14:paraId="434F4A4E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2128C9DE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04ACF9BF">
            <w:pPr>
              <w:spacing w:line="360" w:lineRule="auto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软件升级</w:t>
            </w:r>
          </w:p>
        </w:tc>
        <w:tc>
          <w:tcPr>
            <w:tcW w:w="3258" w:type="dxa"/>
            <w:noWrap w:val="0"/>
            <w:vAlign w:val="center"/>
          </w:tcPr>
          <w:p w14:paraId="36F14B6B">
            <w:pPr>
              <w:spacing w:line="360" w:lineRule="auto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免费升级</w:t>
            </w:r>
          </w:p>
        </w:tc>
        <w:tc>
          <w:tcPr>
            <w:tcW w:w="2055" w:type="dxa"/>
            <w:noWrap w:val="0"/>
            <w:vAlign w:val="center"/>
          </w:tcPr>
          <w:p w14:paraId="5A2576BD">
            <w:pPr>
              <w:spacing w:line="360" w:lineRule="auto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</w:tbl>
    <w:p w14:paraId="572F7283"/>
    <w:p w14:paraId="77A4C5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</w:pPr>
    </w:p>
    <w:p w14:paraId="49DC614C"/>
    <w:bookmarkEnd w:id="0"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134" w:right="1406" w:bottom="62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6384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 w14:paraId="045687A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543E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49674C2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C6B4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C761C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DB34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28C1"/>
    <w:rsid w:val="60A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3092</Words>
  <Characters>3238</Characters>
  <Lines>0</Lines>
  <Paragraphs>0</Paragraphs>
  <TotalTime>0</TotalTime>
  <ScaleCrop>false</ScaleCrop>
  <LinksUpToDate>false</LinksUpToDate>
  <CharactersWithSpaces>3511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2024-12-11T06:34:00Z</dcterms:created>
  <dc:creator>Administrator</dc:creator>
  <cp:lastModifiedBy>YYY⛽️</cp:lastModifiedBy>
  <dcterms:modified xsi:type="dcterms:W3CDTF">2024-12-13T02:00:30Z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F974A2D3C6924C0A8AD378A470A80248_13</vt:lpwstr>
  </property>
</Properties>
</file>